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7649EB43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D2101AB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497E8F" w14:paraId="64A93901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D36A25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BCA36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00EBE25A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CCED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97715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3AD4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C7C8AF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FCD8FCE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574838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37A8F0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4116365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29546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56430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1AA3ADBE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1F115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E9869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DDCB2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C6EDF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BD4206C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D0E7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6B31C1A7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EDF0140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7C3FEF8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8A1B7A8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CB31D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AA03E3F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080C124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567E5C2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D749C8D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0F750E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0A8FC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3B6CB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39C74A2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8F0BA44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DA693A7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7B63FB" w14:textId="77777777" w:rsidR="00497E8F" w:rsidRDefault="00E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Pavlovičová </w:t>
            </w:r>
          </w:p>
        </w:tc>
        <w:tc>
          <w:tcPr>
            <w:tcW w:w="160" w:type="dxa"/>
            <w:vAlign w:val="center"/>
          </w:tcPr>
          <w:p w14:paraId="5AB766D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5B4218B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626A814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0AFE41" w14:textId="77777777" w:rsidR="00497E8F" w:rsidRDefault="00E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Anna</w:t>
            </w:r>
          </w:p>
        </w:tc>
        <w:tc>
          <w:tcPr>
            <w:tcW w:w="160" w:type="dxa"/>
            <w:vAlign w:val="center"/>
          </w:tcPr>
          <w:p w14:paraId="54C8C82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557EFF8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A779801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0F3548" w14:textId="77777777" w:rsidR="00497E8F" w:rsidRPr="007E1DDE" w:rsidRDefault="00E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 , PhDr., PhD.</w:t>
            </w:r>
          </w:p>
        </w:tc>
        <w:tc>
          <w:tcPr>
            <w:tcW w:w="160" w:type="dxa"/>
            <w:vAlign w:val="center"/>
          </w:tcPr>
          <w:p w14:paraId="177BD99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ED47F4C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9DBCB6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5D4DC2" w14:textId="77777777" w:rsidR="00497E8F" w:rsidRPr="005B40FD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9055C0" w:rsidRPr="00ED270B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https://www.portalvs.sk/regzam/detail/12330</w:t>
              </w:r>
            </w:hyperlink>
          </w:p>
        </w:tc>
        <w:tc>
          <w:tcPr>
            <w:tcW w:w="160" w:type="dxa"/>
            <w:vAlign w:val="center"/>
          </w:tcPr>
          <w:p w14:paraId="3D7CFBC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68E8ED1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9247DAC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F5FB16" w14:textId="58441F50" w:rsidR="00497E8F" w:rsidRDefault="00AB52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Sociálna práca I., II.</w:t>
            </w:r>
            <w:r w:rsid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tupeň,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I., II.</w:t>
            </w:r>
            <w:r w:rsid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42AE5F6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CDD36D3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609BBB3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72785B" w14:textId="77777777" w:rsidR="00612F4D" w:rsidRDefault="00612F4D" w:rsidP="00612F4D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Vedecký výstup / </w:t>
            </w:r>
            <w:proofErr w:type="spellStart"/>
            <w:r>
              <w:rPr>
                <w:sz w:val="16"/>
                <w:szCs w:val="16"/>
              </w:rPr>
              <w:t>Scientific</w:t>
            </w:r>
            <w:proofErr w:type="spellEnd"/>
            <w:r>
              <w:rPr>
                <w:sz w:val="16"/>
                <w:szCs w:val="16"/>
              </w:rPr>
              <w:t xml:space="preserve"> output </w:t>
            </w:r>
          </w:p>
          <w:p w14:paraId="587FE29F" w14:textId="77777777" w:rsidR="00612F4D" w:rsidRDefault="00612F4D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3D25C40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7B394D3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D8D1C08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7967F4" w14:textId="77777777" w:rsidR="00497E8F" w:rsidRDefault="00E927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160" w:type="dxa"/>
            <w:vAlign w:val="center"/>
          </w:tcPr>
          <w:p w14:paraId="3195B7A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376E731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F6158F7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9ECE4C" w14:textId="5123408D" w:rsidR="00497E8F" w:rsidRDefault="005A6E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193072</w:t>
            </w:r>
          </w:p>
        </w:tc>
        <w:tc>
          <w:tcPr>
            <w:tcW w:w="160" w:type="dxa"/>
            <w:vAlign w:val="center"/>
          </w:tcPr>
          <w:p w14:paraId="0B5D404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D7A8BE4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38FF3A7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8337FE" w14:textId="2FBA7690" w:rsidR="00497E8F" w:rsidRPr="00E31F09" w:rsidRDefault="0015334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E31F09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r w:rsidR="005A6E22" w:rsidRPr="005A6E2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https://app.crepc.sk/?fn=detailBiblioFormChildW8I2&amp;sid=574F2F10DB8DFA9B7238A06CC1&amp;seo=CREP%C4%8C-detail-%C4%8Cl%C3%A1nok</w:t>
            </w:r>
          </w:p>
        </w:tc>
        <w:tc>
          <w:tcPr>
            <w:tcW w:w="160" w:type="dxa"/>
            <w:vAlign w:val="center"/>
          </w:tcPr>
          <w:p w14:paraId="4907DB7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4A56DEA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1557DBF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7C5F302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087FDA" w14:textId="77777777" w:rsidR="00497E8F" w:rsidRPr="00E31F09" w:rsidRDefault="00497E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11D85D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25277B9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769070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48FD7C6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B767BE" w14:textId="77777777" w:rsidR="005A6E22" w:rsidRPr="005A6E22" w:rsidRDefault="005A6E22" w:rsidP="005A6E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MIKOLASOVA G, MLYNARCIK P, BOZIK J, JACKULIKOVA M, PAVLOVICOVA A, OLAH M, KOVAC R, JANCOVIC M, DOKTOROVA, POLONOVA J, ZEMKO P, JURASEK M, ZABAVOVA S, BRYNDZAK P, TAZIAROVA M (2020) </w:t>
            </w:r>
          </w:p>
          <w:p w14:paraId="4D55C4E2" w14:textId="74139147" w:rsidR="00497E8F" w:rsidRPr="00E31F09" w:rsidRDefault="005A6E22" w:rsidP="005A6E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Cohortation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testing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elderly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within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COVID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pandemics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Urban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environment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In: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Lekarsky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obzor,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vol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69,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nr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11, 2020, ISSN 0457-4214, pp.381-382.</w:t>
            </w:r>
          </w:p>
        </w:tc>
        <w:tc>
          <w:tcPr>
            <w:tcW w:w="160" w:type="dxa"/>
            <w:vAlign w:val="center"/>
          </w:tcPr>
          <w:p w14:paraId="6E6EF8F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44E96" w14:paraId="3A006FCC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C7B313" w14:textId="77777777" w:rsidR="00544E96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82DA297" w14:textId="77777777" w:rsidR="00544E96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04DFBD5" w14:textId="77777777" w:rsidR="00544E96" w:rsidRDefault="00544E96" w:rsidP="00544E96">
            <w:pPr>
              <w:pStyle w:val="Textpoznmkypodiarou"/>
              <w:rPr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ADN: Vedecký článok v domácom karentovanom časopise 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Paper</w:t>
            </w:r>
            <w:proofErr w:type="spellEnd"/>
            <w:r>
              <w:rPr>
                <w:sz w:val="16"/>
                <w:szCs w:val="16"/>
              </w:rPr>
              <w:t xml:space="preserve"> in </w:t>
            </w:r>
            <w:proofErr w:type="spellStart"/>
            <w:r>
              <w:rPr>
                <w:sz w:val="16"/>
                <w:szCs w:val="16"/>
              </w:rPr>
              <w:t>impact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domestic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journal</w:t>
            </w:r>
            <w:proofErr w:type="spellEnd"/>
          </w:p>
          <w:p w14:paraId="53A0D8D6" w14:textId="77777777" w:rsidR="00544E96" w:rsidRPr="0083744F" w:rsidRDefault="00544E96" w:rsidP="00544E96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CAB7DA8" w14:textId="77777777" w:rsidR="00544E96" w:rsidRDefault="00544E96" w:rsidP="0054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44E96" w14:paraId="421707B3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CDAFD0" w14:textId="77777777" w:rsidR="00544E96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DE9C13" w14:textId="77777777" w:rsidR="00544E96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1652C0" w14:textId="2C9AAE18" w:rsidR="00544E96" w:rsidRPr="00E31F09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20" w:history="1">
              <w:r w:rsidRPr="00AD1381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https://www.lekarsky.herba.sk/index.php/2020/285-lekarsky-obzor-11-2020/985-cohortation-and-testing-of-elderly-homeless-within-covid-pandemics-in-an-urban-environment</w:t>
              </w:r>
            </w:hyperlink>
          </w:p>
        </w:tc>
        <w:tc>
          <w:tcPr>
            <w:tcW w:w="160" w:type="dxa"/>
            <w:vAlign w:val="center"/>
          </w:tcPr>
          <w:p w14:paraId="74718562" w14:textId="77777777" w:rsidR="00544E96" w:rsidRDefault="00544E96" w:rsidP="0054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44E96" w14:paraId="56A6BE59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8F24B0" w14:textId="77777777" w:rsidR="00544E96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7F326D" w14:textId="77777777" w:rsidR="00544E96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BE6C2C" w14:textId="77777777" w:rsidR="00544E96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Anna Pavlovičová autorský vklad 20% / Anna Pavlovičová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20%  </w:t>
            </w:r>
          </w:p>
        </w:tc>
        <w:tc>
          <w:tcPr>
            <w:tcW w:w="160" w:type="dxa"/>
            <w:vAlign w:val="center"/>
          </w:tcPr>
          <w:p w14:paraId="0C488F1B" w14:textId="77777777" w:rsidR="00544E96" w:rsidRDefault="00544E96" w:rsidP="0054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44E96" w14:paraId="3F8AB286" w14:textId="77777777" w:rsidTr="00EA1D8B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E1375E" w14:textId="77777777" w:rsidR="00544E96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C160596" w14:textId="77777777" w:rsidR="00544E96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C623C2" w14:textId="5CB82819" w:rsidR="00544E96" w:rsidRDefault="00544E96" w:rsidP="00544E96">
            <w:pPr>
              <w:tabs>
                <w:tab w:val="left" w:pos="2370"/>
              </w:tabs>
              <w:spacing w:after="0" w:line="240" w:lineRule="auto"/>
              <w:rPr>
                <w:sz w:val="16"/>
                <w:szCs w:val="16"/>
              </w:rPr>
            </w:pPr>
            <w:r w:rsidRPr="005A6E22">
              <w:rPr>
                <w:sz w:val="16"/>
                <w:szCs w:val="16"/>
              </w:rPr>
              <w:t xml:space="preserve">Starší ľudia </w:t>
            </w:r>
            <w:r>
              <w:rPr>
                <w:sz w:val="16"/>
                <w:szCs w:val="16"/>
              </w:rPr>
              <w:t>v spojení s</w:t>
            </w:r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bezdomovectvo</w:t>
            </w:r>
            <w:r>
              <w:rPr>
                <w:sz w:val="16"/>
                <w:szCs w:val="16"/>
              </w:rPr>
              <w:t>m</w:t>
            </w:r>
            <w:proofErr w:type="spellEnd"/>
            <w:r w:rsidRPr="005A6E22">
              <w:rPr>
                <w:sz w:val="16"/>
                <w:szCs w:val="16"/>
              </w:rPr>
              <w:t xml:space="preserve"> je smrteľná synergia týkajúca sa rizikových faktorov väčšiny infekcií spojených s vysokou celkovou </w:t>
            </w:r>
            <w:proofErr w:type="spellStart"/>
            <w:r w:rsidRPr="005A6E22">
              <w:rPr>
                <w:sz w:val="16"/>
                <w:szCs w:val="16"/>
              </w:rPr>
              <w:t>pripísateľnou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 </w:t>
            </w:r>
            <w:r w:rsidRPr="005A6E22">
              <w:rPr>
                <w:sz w:val="16"/>
                <w:szCs w:val="16"/>
              </w:rPr>
              <w:t>úmrtnosťou na rôzne prenosné choroby.</w:t>
            </w:r>
            <w:r>
              <w:rPr>
                <w:sz w:val="16"/>
                <w:szCs w:val="16"/>
              </w:rPr>
              <w:t xml:space="preserve"> Je dôležité zabezpečovať sociálno-zdravotnú starostlivosť pre tieto rizikové skupiny aj v čase pandémie.</w:t>
            </w:r>
          </w:p>
          <w:p w14:paraId="33E12FAC" w14:textId="66273178" w:rsidR="00544E96" w:rsidRPr="005A6E22" w:rsidRDefault="00544E96" w:rsidP="00544E96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sz w:val="16"/>
                <w:szCs w:val="16"/>
              </w:rPr>
              <w:t>/</w:t>
            </w:r>
            <w:proofErr w:type="spellStart"/>
            <w:r w:rsidRPr="005A6E22">
              <w:rPr>
                <w:sz w:val="16"/>
                <w:szCs w:val="16"/>
              </w:rPr>
              <w:t>Elderly</w:t>
            </w:r>
            <w:proofErr w:type="spellEnd"/>
            <w:r w:rsidRPr="005A6E22">
              <w:rPr>
                <w:sz w:val="16"/>
                <w:szCs w:val="16"/>
              </w:rPr>
              <w:t xml:space="preserve"> and </w:t>
            </w:r>
            <w:proofErr w:type="spellStart"/>
            <w:r w:rsidRPr="005A6E22">
              <w:rPr>
                <w:sz w:val="16"/>
                <w:szCs w:val="16"/>
              </w:rPr>
              <w:t>homelessness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is</w:t>
            </w:r>
            <w:proofErr w:type="spellEnd"/>
            <w:r w:rsidRPr="005A6E22">
              <w:rPr>
                <w:sz w:val="16"/>
                <w:szCs w:val="16"/>
              </w:rPr>
              <w:t xml:space="preserve"> a </w:t>
            </w:r>
            <w:proofErr w:type="spellStart"/>
            <w:r w:rsidRPr="005A6E22">
              <w:rPr>
                <w:sz w:val="16"/>
                <w:szCs w:val="16"/>
              </w:rPr>
              <w:t>deadly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synergy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concerning</w:t>
            </w:r>
            <w:proofErr w:type="spellEnd"/>
            <w:r w:rsidRPr="005A6E22">
              <w:rPr>
                <w:sz w:val="16"/>
                <w:szCs w:val="16"/>
              </w:rPr>
              <w:t xml:space="preserve"> risk </w:t>
            </w:r>
            <w:proofErr w:type="spellStart"/>
            <w:r w:rsidRPr="005A6E22">
              <w:rPr>
                <w:sz w:val="16"/>
                <w:szCs w:val="16"/>
              </w:rPr>
              <w:t>factors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for</w:t>
            </w:r>
            <w:proofErr w:type="spellEnd"/>
            <w:r w:rsidRPr="005A6E22">
              <w:rPr>
                <w:sz w:val="16"/>
                <w:szCs w:val="16"/>
              </w:rPr>
              <w:t xml:space="preserve"> most </w:t>
            </w:r>
            <w:proofErr w:type="spellStart"/>
            <w:r w:rsidRPr="005A6E22">
              <w:rPr>
                <w:sz w:val="16"/>
                <w:szCs w:val="16"/>
              </w:rPr>
              <w:t>infections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related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with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high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overall</w:t>
            </w:r>
            <w:proofErr w:type="spellEnd"/>
            <w:r w:rsidRPr="005A6E22">
              <w:rPr>
                <w:sz w:val="16"/>
                <w:szCs w:val="16"/>
              </w:rPr>
              <w:t xml:space="preserve"> of </w:t>
            </w:r>
            <w:proofErr w:type="spellStart"/>
            <w:r w:rsidRPr="005A6E22">
              <w:rPr>
                <w:sz w:val="16"/>
                <w:szCs w:val="16"/>
              </w:rPr>
              <w:t>attributable</w:t>
            </w:r>
            <w:proofErr w:type="spellEnd"/>
            <w:r w:rsidRPr="005A6E22">
              <w:rPr>
                <w:sz w:val="16"/>
                <w:szCs w:val="16"/>
              </w:rPr>
              <w:t xml:space="preserve"> mortality </w:t>
            </w:r>
            <w:proofErr w:type="spellStart"/>
            <w:r w:rsidRPr="005A6E22">
              <w:rPr>
                <w:sz w:val="16"/>
                <w:szCs w:val="16"/>
              </w:rPr>
              <w:t>due</w:t>
            </w:r>
            <w:proofErr w:type="spellEnd"/>
            <w:r w:rsidRPr="005A6E22">
              <w:rPr>
                <w:sz w:val="16"/>
                <w:szCs w:val="16"/>
              </w:rPr>
              <w:t xml:space="preserve"> to </w:t>
            </w:r>
            <w:proofErr w:type="spellStart"/>
            <w:r w:rsidRPr="005A6E22">
              <w:rPr>
                <w:sz w:val="16"/>
                <w:szCs w:val="16"/>
              </w:rPr>
              <w:t>various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communicable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diseases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 w:rsidRPr="005A6E22">
              <w:rPr>
                <w:sz w:val="16"/>
                <w:szCs w:val="16"/>
              </w:rPr>
              <w:t>It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is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important</w:t>
            </w:r>
            <w:proofErr w:type="spellEnd"/>
            <w:r w:rsidRPr="005A6E22">
              <w:rPr>
                <w:sz w:val="16"/>
                <w:szCs w:val="16"/>
              </w:rPr>
              <w:t xml:space="preserve"> to </w:t>
            </w:r>
            <w:proofErr w:type="spellStart"/>
            <w:r w:rsidRPr="005A6E22">
              <w:rPr>
                <w:sz w:val="16"/>
                <w:szCs w:val="16"/>
              </w:rPr>
              <w:t>ensure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social</w:t>
            </w:r>
            <w:proofErr w:type="spellEnd"/>
            <w:r w:rsidRPr="005A6E22">
              <w:rPr>
                <w:sz w:val="16"/>
                <w:szCs w:val="16"/>
              </w:rPr>
              <w:t xml:space="preserve"> and </w:t>
            </w:r>
            <w:proofErr w:type="spellStart"/>
            <w:r w:rsidRPr="005A6E22">
              <w:rPr>
                <w:sz w:val="16"/>
                <w:szCs w:val="16"/>
              </w:rPr>
              <w:t>health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care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for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these</w:t>
            </w:r>
            <w:proofErr w:type="spellEnd"/>
            <w:r w:rsidRPr="005A6E22">
              <w:rPr>
                <w:sz w:val="16"/>
                <w:szCs w:val="16"/>
              </w:rPr>
              <w:t xml:space="preserve"> risk </w:t>
            </w:r>
            <w:proofErr w:type="spellStart"/>
            <w:r w:rsidRPr="005A6E22">
              <w:rPr>
                <w:sz w:val="16"/>
                <w:szCs w:val="16"/>
              </w:rPr>
              <w:t>groups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even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during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the</w:t>
            </w:r>
            <w:proofErr w:type="spellEnd"/>
            <w:r w:rsidRPr="005A6E22">
              <w:rPr>
                <w:sz w:val="16"/>
                <w:szCs w:val="16"/>
              </w:rPr>
              <w:t xml:space="preserve"> </w:t>
            </w:r>
            <w:proofErr w:type="spellStart"/>
            <w:r w:rsidRPr="005A6E22">
              <w:rPr>
                <w:sz w:val="16"/>
                <w:szCs w:val="16"/>
              </w:rPr>
              <w:t>pandemic</w:t>
            </w:r>
            <w:proofErr w:type="spellEnd"/>
            <w:r w:rsidRPr="005A6E22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60EEADB4" w14:textId="77777777" w:rsidR="00544E96" w:rsidRDefault="00544E96" w:rsidP="0054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44E96" w14:paraId="257D52DD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46EF9A3E" w14:textId="77777777" w:rsidR="00544E96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244FB" w14:textId="77777777" w:rsidR="00544E96" w:rsidRPr="005A6E22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Covid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Pandemics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high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overall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mortality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mainly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high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risk and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vulnerable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groups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elderly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multiple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organ </w:t>
            </w:r>
          </w:p>
          <w:p w14:paraId="7CBD32D0" w14:textId="77777777" w:rsidR="00544E96" w:rsidRPr="005A6E22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failure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Here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example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strategy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Elderly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-Senior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Hommeless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clients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patients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within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</w:p>
          <w:p w14:paraId="70FD1503" w14:textId="01534968" w:rsidR="00544E96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Urban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environment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affected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Covid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epidemics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march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april</w:t>
            </w:r>
            <w:proofErr w:type="spellEnd"/>
            <w:r w:rsidRPr="005A6E2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2020.</w:t>
            </w:r>
          </w:p>
        </w:tc>
        <w:tc>
          <w:tcPr>
            <w:tcW w:w="160" w:type="dxa"/>
            <w:vAlign w:val="center"/>
          </w:tcPr>
          <w:p w14:paraId="381C01C9" w14:textId="77777777" w:rsidR="00544E96" w:rsidRDefault="00544E96" w:rsidP="0054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44E96" w14:paraId="66C6F2AA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3E0AFC4" w14:textId="77777777" w:rsidR="00544E96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305C1E" w14:textId="77777777" w:rsidR="00544E96" w:rsidRDefault="00544E96" w:rsidP="00544E96">
            <w:pP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(Web of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Science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Core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Collection:WOS:000595546800014) </w:t>
            </w:r>
          </w:p>
          <w:p w14:paraId="563CFB60" w14:textId="7E26BD12" w:rsidR="00544E96" w:rsidRPr="005A6E22" w:rsidRDefault="00544E96" w:rsidP="00544E96">
            <w:pP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224129: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Attitudes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Roma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towards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quarantine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restrictions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due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to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spreading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covid-19 and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their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impacts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on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life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roma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settlement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/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Budayová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Zuzana [Autor, 33.334%] ;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Ludvigh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Cintulová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Lucia [Autor, 33.333%] ;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Radková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, Libuša [Autor, 33.333%]. – WOS CC</w:t>
            </w:r>
          </w:p>
          <w:p w14:paraId="7C848530" w14:textId="3CB3BB81" w:rsidR="00544E96" w:rsidRPr="005A6E22" w:rsidRDefault="00544E96" w:rsidP="00544E96">
            <w:pP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In: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Acta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Missiologica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[textový dokument (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print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)] [elektronický dokument] : akademický časopis Inštitútu misijnej práce a Tropického zdravotníctva Jána Pavla II., VŠ ZSP Svätej Alžbety. – Bratislava (Slovensko) : Vysoká škola zdravotníctva a sociálnej práce sv. Alžbety v Bratislave. – ISSN 1337-7515. – ISSN (online) 2453-7160. – ISSN (chybné) 1333-0023. – Roč. 14, č. 2 (2020), s. 152-169 [tlačená forma] [online]</w:t>
            </w: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</w:r>
          </w:p>
          <w:p w14:paraId="4360DD88" w14:textId="055A8ED9" w:rsidR="00544E96" w:rsidRPr="005A6E22" w:rsidRDefault="00544E96" w:rsidP="00544E96">
            <w:pP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2021</w:t>
            </w: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>01</w:t>
            </w: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 xml:space="preserve">(Web of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Science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Core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Collection:WOS:000720299800022) 432970: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impact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first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two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waves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SARS-COV-2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pandemic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on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seniors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social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services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facilities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/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Buzalová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Szilvia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40%] ;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Radková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Libuša [Autor, 30%] ;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Ludvigh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Cintulová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, Lucia [Autor, 30%]. – WOS CC</w:t>
            </w:r>
          </w:p>
          <w:p w14:paraId="761F92DB" w14:textId="562D1C94" w:rsidR="00544E96" w:rsidRPr="005A6E22" w:rsidRDefault="00544E96" w:rsidP="00544E96">
            <w:pP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In: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Acta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Missiologica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[textový dokument (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print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)] [elektronický dokument] : akademický časopis Inštitútu misijnej práce a Tropického zdravotníctva Jána Pavla II., VŠ ZSP Svätej Alžbety. – Bratislava (Slovensko) : Vysoká škola zdravotníctva a sociálnej práce sv. Alžbety v Bratislave. – ISSN 1337-7515. – ISSN (online) 2453-7160. – ISSN (chybné) 1333-0023. – Roč. 15, č. 2 (2021), s. 311-325 [tlačená forma] [online]</w:t>
            </w: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</w: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</w:r>
          </w:p>
          <w:p w14:paraId="424C0651" w14:textId="1BAE3601" w:rsidR="00544E96" w:rsidRPr="005A6E22" w:rsidRDefault="00544E96" w:rsidP="00544E96">
            <w:pP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2021</w:t>
            </w: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>01</w:t>
            </w: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 xml:space="preserve">(Web of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Science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Core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Collection:WOS:000635671300009) 469113: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Understanding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Pakhtun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Woman's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Vulnerability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Negotiation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with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their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Husbands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for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HIV/AIDS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Screening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/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Khan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Nasa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20%] ;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Khan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Waseem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20%] ;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Naz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Arab [Autor, 20%] ;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Sultana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Aneela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20%] ;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Pasha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Asmat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20%]. – DOI 10.22359/cswhi_12_1_08. </w:t>
            </w:r>
          </w:p>
          <w:p w14:paraId="799B1CCD" w14:textId="1844D2C3" w:rsidR="00544E96" w:rsidRPr="005A6E22" w:rsidRDefault="00544E96" w:rsidP="00544E96">
            <w:pP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In: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Clinical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Social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Work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Health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Intervention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[textový dokument (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print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)] [elektronický dokument] . – Viedeň (Rakúsko) :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Gesellschaft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für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angewandte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Präventionsmedizin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– ISSN 2222-386X. – ISSN (online) 2076-9741. – Roč. 12, č. 1 (2021), s. 30-37 [tlačená forma] [online]</w:t>
            </w: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</w: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</w:r>
          </w:p>
          <w:p w14:paraId="5840E471" w14:textId="11CCBEFB" w:rsidR="00544E96" w:rsidRPr="005A6E22" w:rsidRDefault="00544E96" w:rsidP="00544E96">
            <w:pP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2022</w:t>
            </w: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   </w:t>
            </w: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01(SCOPUS:2-s2.0-85126058001; Web of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Science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Core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Collection:WOS:000775327100001) 472559: A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Scoping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Review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Health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Impact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COVID-19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Pandemic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on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Persons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Experiencing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Homelessness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North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America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Europe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/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Corey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Julia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20%] ;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Lyons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James [Autor, 20%] ;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O'Carroll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Austin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20%] ;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Stafford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Richie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20%] ;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Ivers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Jo-Hanna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[Autor, 20%]. – DOI 10.3390/ijerph19063219. – WOS CC ; SCOPUS</w:t>
            </w:r>
          </w:p>
          <w:p w14:paraId="3B6B1402" w14:textId="4C889CAA" w:rsidR="00544E96" w:rsidRDefault="00544E96" w:rsidP="00544E96">
            <w:pP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In: International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journal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environmental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research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public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health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[elektronický dokument] [textový dokument (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print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)] :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open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access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journal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. –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Basel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(Švajčiarsko) :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Multidisciplinary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Digital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Publishing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Institute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– ISSN 1661-7827. – ISSN (online) 1660-4601. – Roč. 19, č. 6 (2022), art. no. 3219, s. [online] [tlačená forma]</w:t>
            </w:r>
          </w:p>
          <w:p w14:paraId="1DA01ADE" w14:textId="1F633168" w:rsidR="00544E96" w:rsidRPr="005A6E22" w:rsidRDefault="00544E96" w:rsidP="00544E96">
            <w:pP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A.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Bevelaqua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C.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Muss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M.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Olah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R.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Kovac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E.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Horvatova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Z.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Ondrusova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G.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Magyarova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E. Vrankova, B.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Igliarova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E.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Haluskova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P.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Gombita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M.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Vladarova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. 2021.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Psychosocial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Impact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COVID-19 on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Elderly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/Senior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Population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. In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Clinical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Social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Work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Health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Intervention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Vol</w:t>
            </w:r>
            <w:proofErr w:type="spellEnd"/>
            <w:r w:rsidRPr="005A6E22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12 No. 4 2021</w:t>
            </w:r>
          </w:p>
          <w:p w14:paraId="3AF8DB33" w14:textId="12C9A69D" w:rsidR="00544E96" w:rsidRDefault="00544E96" w:rsidP="00544E96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7FE0306" w14:textId="77777777" w:rsidR="00544E96" w:rsidRDefault="00544E96" w:rsidP="0054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44E96" w14:paraId="72290BAE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85CC4" w14:textId="77777777" w:rsidR="00544E96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602F51" w14:textId="77777777" w:rsidR="00544E96" w:rsidRDefault="00544E96" w:rsidP="00544E9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Výstup upozorňuje na riziká spojená so zdravotno-sociálnou starostlivosťou bezdomovcov v seniorskom veku v čase pandemickej situácie a poskytuje modelové situácie ako túto starostlivosť zabezpečovať v čase vyvrcholenia koronavírusu a posilňovať celý systém sociálnej a zdravotnej starostlivosti. </w:t>
            </w:r>
          </w:p>
          <w:p w14:paraId="31D59BD4" w14:textId="3EF60F88" w:rsidR="00544E96" w:rsidRDefault="00544E96" w:rsidP="00544E9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Výstup je</w:t>
            </w:r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určen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ý</w:t>
            </w:r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pre vedeckú, ale i odbornú verejnosť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i študentov</w:t>
            </w:r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ktorá sa danou problematikou zaoberá, alebo ktorú táto problematika zaujíma.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Výstup</w:t>
            </w:r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 poskytuje relevantné informácie, ktoré pojednávajú o tak závažnom probléme akými sú problémové situácie v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pandémii</w:t>
            </w:r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s tým spojené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krízové situácie</w:t>
            </w:r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 cieľom adaptovať sa na demografické zmeny a trendy, ktoré prináša spoločný európsky priestor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na podporu hospodárskeho rozvoja i v čase covid-19</w:t>
            </w:r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  <w:p w14:paraId="7DE47446" w14:textId="77777777" w:rsidR="00544E96" w:rsidRDefault="00544E96" w:rsidP="00544E9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/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draws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attention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risks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associated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care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homeless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elderly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during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pandemic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situation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provides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model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situations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how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ensure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this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care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at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time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peak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coronavirus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strengthen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entire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system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care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  <w:p w14:paraId="4DEBB274" w14:textId="72A95FD4" w:rsidR="00544E96" w:rsidRPr="009C7963" w:rsidRDefault="00544E96" w:rsidP="00544E9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lastRenderedPageBreak/>
              <w:t>The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intended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scientific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as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well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public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students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who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deal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given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issue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or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who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are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interested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this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issue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provides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relevant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information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that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discusses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such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serious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problem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problematic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situations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a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pandemic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related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crisis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situations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aim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adapting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demographic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changes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trends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brought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about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by a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common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European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space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support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economic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development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even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time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covid-19.</w:t>
            </w:r>
          </w:p>
        </w:tc>
        <w:tc>
          <w:tcPr>
            <w:tcW w:w="160" w:type="dxa"/>
            <w:vAlign w:val="center"/>
          </w:tcPr>
          <w:p w14:paraId="6629F1AB" w14:textId="77777777" w:rsidR="00544E96" w:rsidRDefault="00544E96" w:rsidP="0054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44E96" w14:paraId="4F3B61AC" w14:textId="77777777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BB1F4E5" w14:textId="77777777" w:rsidR="00544E96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636D1E" w14:textId="444AA94D" w:rsidR="00544E96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Výstup poukazuje na fungujúci model zdravotno-sociálnej starostlivosti v čase koronavírusu, čím prakticky vzdelávania a vychováva študentov, laickú i odbornú verejnosť pri práci s bezdomovcami, aby ho dokázali implementovať metódy do svojej práce a zvyšovali tak kvalitu poskytovaných služieb. </w:t>
            </w:r>
            <w:r w:rsidRPr="00AF268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Vo vzdelávacom procese táto  štúdia koreluje s  viacerými predmetmi, ako je teória sociálnej práce, základy sociálnej práce, metódy sociálnej práce, práca s minoritami, komunitná sociálna práce, sociálna práca v zdravotníctve, sociálna politika, neziskový sektor v sociálnej práci.</w:t>
            </w:r>
          </w:p>
          <w:p w14:paraId="55472AAF" w14:textId="16C587DD" w:rsidR="00544E96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points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good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model of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time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coronavirus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practically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prepare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educates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proffessional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ile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working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so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can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implement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thus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A08F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650CB135" w14:textId="068EB0C0" w:rsidR="00544E96" w:rsidRDefault="00544E96" w:rsidP="00544E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correlates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several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theory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basics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minorities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community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policy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non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-profit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sector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0D26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32F72B0D" w14:textId="77777777" w:rsidR="00544E96" w:rsidRDefault="00544E96" w:rsidP="0054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41ED60E" w14:textId="77777777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BC90A" w14:textId="77777777" w:rsidR="000253DA" w:rsidRDefault="000253DA">
      <w:pPr>
        <w:spacing w:line="240" w:lineRule="auto"/>
      </w:pPr>
      <w:r>
        <w:separator/>
      </w:r>
    </w:p>
  </w:endnote>
  <w:endnote w:type="continuationSeparator" w:id="0">
    <w:p w14:paraId="0B2755C1" w14:textId="77777777" w:rsidR="000253DA" w:rsidRDefault="000253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5D640" w14:textId="77777777" w:rsidR="000253DA" w:rsidRDefault="000253DA">
      <w:pPr>
        <w:spacing w:after="0"/>
      </w:pPr>
      <w:r>
        <w:separator/>
      </w:r>
    </w:p>
  </w:footnote>
  <w:footnote w:type="continuationSeparator" w:id="0">
    <w:p w14:paraId="6667624B" w14:textId="77777777" w:rsidR="000253DA" w:rsidRDefault="000253D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 w16cid:durableId="101734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253DA"/>
    <w:rsid w:val="00064A3F"/>
    <w:rsid w:val="00071544"/>
    <w:rsid w:val="00096A2A"/>
    <w:rsid w:val="000D26A1"/>
    <w:rsid w:val="000F2BAC"/>
    <w:rsid w:val="000F45D2"/>
    <w:rsid w:val="00153341"/>
    <w:rsid w:val="001626E5"/>
    <w:rsid w:val="00190A9C"/>
    <w:rsid w:val="001E32A6"/>
    <w:rsid w:val="00211BB7"/>
    <w:rsid w:val="00270EC5"/>
    <w:rsid w:val="002F10FB"/>
    <w:rsid w:val="00306A88"/>
    <w:rsid w:val="0034215B"/>
    <w:rsid w:val="003971C7"/>
    <w:rsid w:val="003D2F5C"/>
    <w:rsid w:val="004031A0"/>
    <w:rsid w:val="00425285"/>
    <w:rsid w:val="00482CB2"/>
    <w:rsid w:val="00497E8F"/>
    <w:rsid w:val="004A13DC"/>
    <w:rsid w:val="004C0ADE"/>
    <w:rsid w:val="00544CA5"/>
    <w:rsid w:val="00544E96"/>
    <w:rsid w:val="00566017"/>
    <w:rsid w:val="00567C3B"/>
    <w:rsid w:val="005A6E22"/>
    <w:rsid w:val="005B40FD"/>
    <w:rsid w:val="00612F4D"/>
    <w:rsid w:val="006E130F"/>
    <w:rsid w:val="0073261A"/>
    <w:rsid w:val="007766D2"/>
    <w:rsid w:val="007E1DDE"/>
    <w:rsid w:val="008311D2"/>
    <w:rsid w:val="0083744F"/>
    <w:rsid w:val="008F14BC"/>
    <w:rsid w:val="009010F0"/>
    <w:rsid w:val="009055C0"/>
    <w:rsid w:val="0092324B"/>
    <w:rsid w:val="009407C3"/>
    <w:rsid w:val="00981561"/>
    <w:rsid w:val="00987C34"/>
    <w:rsid w:val="009922EF"/>
    <w:rsid w:val="009A7EFB"/>
    <w:rsid w:val="009B66D2"/>
    <w:rsid w:val="009C7963"/>
    <w:rsid w:val="009F5971"/>
    <w:rsid w:val="00A63D8C"/>
    <w:rsid w:val="00AB52A6"/>
    <w:rsid w:val="00AD0A89"/>
    <w:rsid w:val="00B10528"/>
    <w:rsid w:val="00B11E9B"/>
    <w:rsid w:val="00B1521A"/>
    <w:rsid w:val="00B70FF2"/>
    <w:rsid w:val="00BA08F9"/>
    <w:rsid w:val="00BB6175"/>
    <w:rsid w:val="00BC45DD"/>
    <w:rsid w:val="00C11253"/>
    <w:rsid w:val="00C26AC3"/>
    <w:rsid w:val="00C7760E"/>
    <w:rsid w:val="00C92CA6"/>
    <w:rsid w:val="00CA400E"/>
    <w:rsid w:val="00CD0A24"/>
    <w:rsid w:val="00D31D8F"/>
    <w:rsid w:val="00D7387E"/>
    <w:rsid w:val="00E31F09"/>
    <w:rsid w:val="00E71021"/>
    <w:rsid w:val="00E82976"/>
    <w:rsid w:val="00E9271F"/>
    <w:rsid w:val="00EA1D8B"/>
    <w:rsid w:val="00EC3B68"/>
    <w:rsid w:val="00EC3E99"/>
    <w:rsid w:val="00ED03BE"/>
    <w:rsid w:val="00F1193B"/>
    <w:rsid w:val="00FA1AAB"/>
    <w:rsid w:val="00FB7D01"/>
    <w:rsid w:val="00FE109E"/>
    <w:rsid w:val="00FF766C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6EDA7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Nevyrieenzmienka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0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0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5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2330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https://www.lekarsky.herba.sk/index.php/2020/285-lekarsky-obzor-11-2020/985-cohortation-and-testing-of-elderly-homeless-within-covid-pandemics-in-an-urban-environmen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2012</Words>
  <Characters>11471</Characters>
  <Application>Microsoft Office Word</Application>
  <DocSecurity>0</DocSecurity>
  <Lines>95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Peter Kottlik</cp:lastModifiedBy>
  <cp:revision>5</cp:revision>
  <dcterms:created xsi:type="dcterms:W3CDTF">2022-08-06T11:20:00Z</dcterms:created>
  <dcterms:modified xsi:type="dcterms:W3CDTF">2024-02-07T15:03:00Z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